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кадастровая оценка недвижимости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«Государственная кадастровая оценка недвижимости».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12.2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304.6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Нормативно - правовая база кадастровой</w:t>
            </w:r>
          </w:p>
          <w:p>
            <w:pPr>
              <w:jc w:val="left"/>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кадастровую</w:t>
            </w:r>
          </w:p>
          <w:p>
            <w:pPr>
              <w:jc w:val="left"/>
              <w:spacing w:after="0" w:line="240" w:lineRule="auto"/>
              <w:rPr>
                <w:sz w:val="24"/>
                <w:szCs w:val="24"/>
              </w:rPr>
            </w:pPr>
            <w:r>
              <w:rPr>
                <w:rFonts w:ascii="Times New Roman" w:hAnsi="Times New Roman" w:cs="Times New Roman"/>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Технология</w:t>
            </w:r>
          </w:p>
          <w:p>
            <w:pPr>
              <w:jc w:val="left"/>
              <w:spacing w:after="0" w:line="240" w:lineRule="auto"/>
              <w:rPr>
                <w:sz w:val="24"/>
                <w:szCs w:val="24"/>
              </w:rPr>
            </w:pPr>
            <w:r>
              <w:rPr>
                <w:rFonts w:ascii="Times New Roman" w:hAnsi="Times New Roman" w:cs="Times New Roman"/>
                <w:b/>
                <w:color w:val="#000000"/>
                <w:sz w:val="24"/>
                <w:szCs w:val="24"/>
              </w:rPr>
              <w:t> государственной кадастровой оценки объектов</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и инвентаризация</w:t>
            </w:r>
          </w:p>
          <w:p>
            <w:pPr>
              <w:jc w:val="left"/>
              <w:spacing w:after="0" w:line="240" w:lineRule="auto"/>
              <w:rPr>
                <w:sz w:val="24"/>
                <w:szCs w:val="24"/>
              </w:rPr>
            </w:pPr>
            <w:r>
              <w:rPr>
                <w:rFonts w:ascii="Times New Roman" w:hAnsi="Times New Roman" w:cs="Times New Roman"/>
                <w:b/>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инвентаризации</w:t>
            </w:r>
          </w:p>
          <w:p>
            <w:pPr>
              <w:jc w:val="left"/>
              <w:spacing w:after="0" w:line="240" w:lineRule="auto"/>
              <w:rPr>
                <w:sz w:val="24"/>
                <w:szCs w:val="24"/>
              </w:rPr>
            </w:pPr>
            <w:r>
              <w:rPr>
                <w:rFonts w:ascii="Times New Roman" w:hAnsi="Times New Roman" w:cs="Times New Roman"/>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21.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кадастровую</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государственного кадастрового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объектов недвижимости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инвентаризации</w:t>
            </w:r>
          </w:p>
          <w:p>
            <w:pPr>
              <w:jc w:val="center"/>
              <w:spacing w:after="0" w:line="240" w:lineRule="auto"/>
              <w:rPr>
                <w:sz w:val="24"/>
                <w:szCs w:val="24"/>
              </w:rPr>
            </w:pPr>
            <w:r>
              <w:rPr>
                <w:rFonts w:ascii="Times New Roman" w:hAnsi="Times New Roman" w:cs="Times New Roman"/>
                <w:b/>
                <w:color w:val="#000000"/>
                <w:sz w:val="24"/>
                <w:szCs w:val="24"/>
              </w:rPr>
              <w:t> объектов недвижимости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отличия технической инвентаризация от государственной кадастровой оценки объектов недвижимости.</w:t>
            </w:r>
          </w:p>
          <w:p>
            <w:pPr>
              <w:jc w:val="both"/>
              <w:spacing w:after="0" w:line="240" w:lineRule="auto"/>
              <w:rPr>
                <w:sz w:val="24"/>
                <w:szCs w:val="24"/>
              </w:rPr>
            </w:pPr>
            <w:r>
              <w:rPr>
                <w:rFonts w:ascii="Times New Roman" w:hAnsi="Times New Roman" w:cs="Times New Roman"/>
                <w:color w:val="#000000"/>
                <w:sz w:val="24"/>
                <w:szCs w:val="24"/>
              </w:rPr>
              <w:t> Сроки, порядок проведения и особенности инвентаризации недвижимого имущества. Этапы проведения инвентаризации недвижимого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государственного кадастрового учета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обработка  документов, принятых на государственный кадастровый учет.Проведение ГКУ объектов недвижимости. Внесение сведений в Автоматизированную информационную систему государственного кадастра недвижимости. Подготовка документации к выдаче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государственной кадастровой оценки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 Подготовка и проведение государственной кадастровой оценкиГосударственная кадастровая отдельных объектов недвижимости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инвентаризации объектов недвижимости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и особенности инвентаризация объектов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2024-2025_ФГОС3++2024_Бак-ЗФО-Э(БАиОСИ)(24)_plx_Государственная кадастровая оценка недвижимости</dc:title>
  <dc:creator>FastReport.NET</dc:creator>
</cp:coreProperties>
</file>